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(COPY) (COPY)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 - Bản sao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(COPY) (COPY)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 - Bản sao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