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 - Bản sao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 - Bản sao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(COPY)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 - Bản sao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 - Bản sao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 18 tuoi</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