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 - Bản sao - Bản sao”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